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bookmarkStart w:id="0" w:name="_GoBack"/>
      <w:bookmarkEnd w:id="0"/>
      <w:r>
        <w:rPr>
          <w:rFonts w:hint="eastAsia" w:ascii="宋体" w:hAnsi="宋体" w:eastAsia="宋体" w:cs="宋体"/>
          <w:b/>
          <w:i w:val="0"/>
          <w:caps w:val="0"/>
          <w:color w:val="333333"/>
          <w:spacing w:val="0"/>
          <w:sz w:val="36"/>
          <w:szCs w:val="36"/>
          <w:bdr w:val="none" w:color="auto" w:sz="0" w:space="0"/>
          <w:shd w:val="clear" w:fill="FFFFFF"/>
        </w:rPr>
        <w:t>国务院办公厅关于全面推进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城镇老旧小区改造工作的指导意见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ascii="楷体" w:hAnsi="楷体" w:eastAsia="楷体" w:cs="楷体"/>
          <w:i w:val="0"/>
          <w:caps w:val="0"/>
          <w:color w:val="333333"/>
          <w:spacing w:val="0"/>
          <w:sz w:val="24"/>
          <w:szCs w:val="24"/>
          <w:bdr w:val="none" w:color="auto" w:sz="0" w:space="0"/>
          <w:shd w:val="clear" w:fill="FFFFFF"/>
        </w:rPr>
        <w:t>国办发〔2020〕23号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城镇老旧小区改造是重大民生工程和发展工程，对满足人民群众美好生活需要、推动惠民生扩内需、推进城市更新和开发建设方式转型、促进经济高质量发展具有十分重要的意义。为全面推进城镇老旧小区改造工作，经国务院同意，现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宋体" w:hAnsi="宋体" w:eastAsia="宋体" w:cs="宋体"/>
          <w:b/>
          <w:i w:val="0"/>
          <w:caps w:val="0"/>
          <w:color w:val="000000" w:themeColor="text1"/>
          <w:spacing w:val="0"/>
          <w:sz w:val="28"/>
          <w:szCs w:val="28"/>
          <w:bdr w:val="none" w:color="auto" w:sz="0" w:space="0"/>
          <w:shd w:val="clear" w:fill="FFFFFF"/>
          <w14:textFill>
            <w14:solidFill>
              <w14:schemeClr w14:val="tx1"/>
            </w14:solidFill>
          </w14:textFill>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（一）指导思想。</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以习近平新时代中国特色社会主义思想为指导，全面贯彻党的十九大和十九届二中、三中、四中全会精神，按照党中央、国务院决策部署，坚持以人民为中心的发展思想，坚持新发展理念，按照高质量发展要求，大力改造提升城镇老旧小区，改善居民居住条件，推动构建“纵向到底、横向到边、共建共治共享”的社区治理体系，让人民群众生活更方便、更舒心、更美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w:t>
      </w: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坚持以人为本，把握改造重点。</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从人民群众最关心最直接最现实的利益问题出发，征求居民意见并合理确定改造内容，重点改造完善小区配套和市政基础设施，提升社区养老、托育、医疗等公共服务水平，推动建设安全健康、设施完善、管理有序的完整居住社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w:t>
      </w: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坚持因地制宜，做到精准施策。</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科学确定改造目标，既尽力而为又量力而行，不搞“一刀切”、不层层下指标；合理制定改造方案，体现小区特点，杜绝政绩工程、形象工程。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w:t>
      </w: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坚持居民自愿，调动各方参与。</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广泛开展“美好环境与幸福生活共同缔造”活动，激发居民参与改造的主动性、积极性，充分调动小区关联单位和社会力量支持、参与改造，实现决策共谋、发展共建、建设共管、效果共评、成果共享。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w:t>
      </w: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坚持保护优先，注重历史传承。</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兼顾完善功能和传承历史，落实历史建筑保护修缮要求，保护历史文化街区，在改善居住条件、提高环境品质的同时，展现城市特色，延续历史文脉。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w:t>
      </w: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坚持建管并重，加强长效管理。</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以加强基层党建为引领，将社区治理能力建设融入改造过程，促进小区治理模式创新，推动社会治理和服务重心向基层下移，完善小区长效管理机制。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（三）工作目标。</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2020年新开工改造城镇老旧小区3.9万个，涉及居民近700万户；到2022年，基本形成城镇老旧小区改造制度框架、政策体系和工作机制；到“十四五”期末，结合各地实际，力争基本完成2000年底前建成的需改造城镇老旧小区改造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宋体" w:hAnsi="宋体" w:eastAsia="宋体" w:cs="宋体"/>
          <w:b/>
          <w:i w:val="0"/>
          <w:caps w:val="0"/>
          <w:color w:val="000000" w:themeColor="text1"/>
          <w:spacing w:val="0"/>
          <w:sz w:val="28"/>
          <w:szCs w:val="28"/>
          <w:bdr w:val="none" w:color="auto" w:sz="0" w:space="0"/>
          <w:shd w:val="clear" w:fill="FFFFFF"/>
          <w14:textFill>
            <w14:solidFill>
              <w14:schemeClr w14:val="tx1"/>
            </w14:solidFill>
          </w14:textFill>
        </w:rPr>
        <w:t>二、明确改造任务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（一）明确改造对象范围。</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城镇老旧小区是指城市或县城（城关镇）建成年代较早、失养失修失管、市政配套设施不完善、社区服务设施不健全、居民改造意愿强烈的住宅小区（含单栋住宅楼）。各地要结合实际，合理界定本地区改造对象范围，重点改造2000年底前建成的老旧小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（二）合理确定改造内容。</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城镇老旧小区改造内容可分为基础类、完善类、提升类3类。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1. 基础类。</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为满足居民安全需要和基本生活需求的内容，主要是市政配套基础设施改造提升以及小区内建筑物屋面、外墙、楼梯等公共部位维修等。其中，改造提升市政配套基础设施包括改造提升小区内部及与小区联系的供水、排水、供电、弱电、道路、供气、供热、消防、安防、生活垃圾分类、移动通信等基础设施，以及光纤入户、架空线规整（入地）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2. 完善类。</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为满足居民生活便利需要和改善型生活需求的内容，主要是环境及配套设施改造建设、小区内建筑节能改造、有条件的楼栋加装电梯等。其中，改造建设环境及配套设施包括拆除违法建设，整治小区及周边绿化、照明等环境，改造或建设小区及周边适老设施、无障碍设施、停车库（场）、电动自行车及汽车充电设施、智能快件箱、智能信包箱、文化休闲设施、体育健身设施、物业用房等配套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3. 提升类。</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为丰富社区服务供给、提升居民生活品质、立足小区及周边实际条件积极推进的内容，主要是公共服务设施配套建设及其智慧化改造，包括改造或建设小区及周边的社区综合服务设施、卫生服务站等公共卫生设施、幼儿园等教育设施、周界防护等智能感知设施，以及养老、托育、助餐、家政保洁、便民市场、便利店、邮政快递末端综合服务站等社区专项服务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各地可因地制宜确定改造内容清单、标准和支持政策。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（三）编制专项改造规划和计划。</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各地要进一步摸清既有城镇老旧小区底数，建立项目储备库。区分轻重缓急，切实评估财政承受能力，科学编制城镇老旧小区改造规划和年度改造计划，不得盲目举债铺摊子。建立激励机制，优先对居民改造意愿强、参与积极性高的小区（包括移交政府安置的军队离退休干部住宅小区）实施改造。养老、文化、教育、卫生、托育、体育、邮政快递、社会治安等有关方面涉及城镇老旧小区的各类设施增设或改造计划，以及电力、通信、供水、排水、供气、供热等专业经营单位的相关管线改造计划，应主动与城镇老旧小区改造规划和计划有效对接，同步推进实施。国有企事业单位、军队所属城镇老旧小区按属地原则纳入地方改造规划和计划统一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宋体" w:hAnsi="宋体" w:eastAsia="宋体" w:cs="宋体"/>
          <w:b/>
          <w:i w:val="0"/>
          <w:caps w:val="0"/>
          <w:color w:val="000000" w:themeColor="text1"/>
          <w:spacing w:val="0"/>
          <w:sz w:val="28"/>
          <w:szCs w:val="28"/>
          <w:bdr w:val="none" w:color="auto" w:sz="0" w:space="0"/>
          <w:shd w:val="clear" w:fill="FFFFFF"/>
          <w14:textFill>
            <w14:solidFill>
              <w14:schemeClr w14:val="tx1"/>
            </w14:solidFill>
          </w14:textFill>
        </w:rPr>
        <w:t>三、建立健全组织实施机制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（一）建立统筹协调机制。</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各地要建立健全政府统筹、条块协作、各部门齐抓共管的专门工作机制，明确各有关部门、单位和街道（镇）、社区职责分工，制定工作规则、责任清单和议事规程，形成工作合力，共同破解难题，统筹推进城镇老旧小区改造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（二）健全动员居民参与机制。</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城镇老旧小区改造要与加强基层党组织建设、居民自治机制建设、社区服务体系建设有机结合。建立和完善党建引领城市基层治理机制，充分发挥社区党组织的领导作用，统筹协调社区居民委员会、业主委员会、产权单位、物业服务企业等共同推进改造。搭建沟通议事平台，利用“互联网+共建共治共享”等线上线下手段，开展小区党组织引领的多种形式基层协商，主动了解居民诉求，促进居民形成共识，发动居民积极参与改造方案制定、配合施工、参与监督和后续管理、评价和反馈小区改造效果等。组织引导社区内机关、企事业单位积极参与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（三）建立改造项目推进机制。</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区县人民政府要明确项目实施主体，健全项目管理机制，推进项目有序实施。积极推动设计师、工程师进社区，辅导居民有效参与改造。为专业经营单位的工程实施提供支持便利，禁止收取不合理费用。鼓励选用经济适用、绿色环保的技术、工艺、材料、产品。改造项目涉及历史文化街区、历史建筑的，应严格落实相关保护修缮要求。落实施工安全和工程质量责任，组织做好工程验收移交，杜绝安全隐患。充分发挥社会监督作用，畅通投诉举报渠道。结合城镇老旧小区改造，同步开展绿色社区创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（四）完善小区长效管理机制。</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结合改造工作同步建立健全基层党组织领导，社区居民委员会配合，业主委员会、物业服务企业等参与的联席会议机制，引导居民协商确定改造后小区的管理模式、管理规约及业主议事规则，共同维护改造成果。建立健全城镇老旧小区住宅专项维修资金归集、使用、续筹机制，促进小区改造后维护更新进入良性轨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宋体" w:hAnsi="宋体" w:eastAsia="宋体" w:cs="宋体"/>
          <w:b/>
          <w:i w:val="0"/>
          <w:caps w:val="0"/>
          <w:color w:val="000000" w:themeColor="text1"/>
          <w:spacing w:val="0"/>
          <w:sz w:val="28"/>
          <w:szCs w:val="28"/>
          <w:bdr w:val="none" w:color="auto" w:sz="0" w:space="0"/>
          <w:shd w:val="clear" w:fill="FFFFFF"/>
          <w14:textFill>
            <w14:solidFill>
              <w14:schemeClr w14:val="tx1"/>
            </w14:solidFill>
          </w14:textFill>
        </w:rPr>
        <w:t>四、建立改造资金政府与居民、社会力量合理共担机制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（一）合理落实居民出资责任。</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按照谁受益、谁出资原则，积极推动居民出资参与改造，可通过直接出资、使用（补建、续筹）住宅专项维修资金、让渡小区公共收益等方式落实。研究住宅专项维修资金用于城镇老旧小区改造的办法。支持小区居民提取住房公积金，用于加装电梯等自住住房改造。鼓励居民通过捐资捐物、投工投劳等支持改造。鼓励有需要的居民结合小区改造进行户内改造或装饰装修、家电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（二）加大政府支持力度。</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将城镇老旧小区改造纳入保障性安居工程，中央给予资金补助，按照“保基本”的原则，重点支持基础类改造内容。中央财政资金重点支持改造2000年底前建成的老旧小区，可以适当支持2000年后建成的老旧小区，但需要限定年限和比例。省级人民政府要相应做好资金支持。市县人民政府对城镇老旧小区改造给予资金支持，可以纳入国有住房出售收入存量资金使用范围；要统筹涉及住宅小区的各类资金用于城镇老旧小区改造，提高资金使用效率。支持各地通过发行地方政府专项债券筹措改造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（三）持续提升金融服务力度和质效。</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支持城镇老旧小区改造规模化实施运营主体采取市场化方式，运用公司信用类债券、项目收益票据等进行债券融资，但不得承担政府融资职能，杜绝新增地方政府隐性债务。国家开发银行、农业发展银行结合各自职能定位和业务范围，按照市场化、法治化原则，依法合规加大对城镇老旧小区改造的信贷支持力度。商业银行加大产品和服务创新力度，在风险可控、商业可持续前提下，依法合规对实施城镇老旧小区改造的企业和项目提供信贷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（四）推动社会力量参与。</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鼓励原产权单位对已移交地方的原职工住宅小区改造给予资金等支持。公房产权单位应出资参与改造。引导专业经营单位履行社会责任，出资参与小区改造中相关管线设施设备的改造提升；改造后专营设施设备的产权可依照法定程序移交给专业经营单位，由其负责后续维护管理。通过政府采购、新增设施有偿使用、落实资产权益等方式，吸引各类专业机构等社会力量投资参与各类需改造设施的设计、改造、运营。支持规范各类企业以政府和社会资本合作模式参与改造。支持以“平台+创业单元”方式发展养老、托育、家政等社区服务新业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（五）落实税费减免政策。</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专业经营单位参与政府统一组织的城镇老旧小区改造，对其取得所有权的设施设备等配套资产改造所发生的费用，可以作为该设施设备的计税基础，按规定计提折旧并在企业所得税前扣除；所发生的维护管理费用，可按规定计入企业当期费用税前扣除。在城镇老旧小区改造中，为社区提供养老、托育、家政等服务的机构，提供养老、托育、家政服务取得的收入免征增值税，并减按90%计入所得税应纳税所得额；用于提供社区养老、托育、家政服务的房产、土地，可按现行规定免征契税、房产税、城镇土地使用税和城市基础设施配套费、不动产登记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宋体" w:hAnsi="宋体" w:eastAsia="宋体" w:cs="宋体"/>
          <w:b/>
          <w:i w:val="0"/>
          <w:caps w:val="0"/>
          <w:color w:val="000000" w:themeColor="text1"/>
          <w:spacing w:val="0"/>
          <w:sz w:val="28"/>
          <w:szCs w:val="28"/>
          <w:bdr w:val="none" w:color="auto" w:sz="0" w:space="0"/>
          <w:shd w:val="clear" w:fill="FFFFFF"/>
          <w14:textFill>
            <w14:solidFill>
              <w14:schemeClr w14:val="tx1"/>
            </w14:solidFill>
          </w14:textFill>
        </w:rPr>
        <w:t>五、完善配套政策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（一）加快改造项目审批。</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各地要结合审批制度改革，精简城镇老旧小区改造工程审批事项和环节，构建快速审批流程，积极推行网上审批，提高项目审批效率。可由市县人民政府组织有关部门联合审查改造方案，认可后由相关部门直接办理立项、用地、规划审批。不涉及土地权属变化的项目，可用已有用地手续等材料作为土地证明文件，无需再办理用地手续。探索将工程建设许可和施工许可合并为一个阶段，简化相关审批手续。不涉及建筑主体结构变动的低风险项目，实行项目建设单位告知承诺制的，可不进行施工图审查。鼓励相关各方进行联合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（二）完善适应改造需要的标准体系。</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各地要抓紧制定本地区城镇老旧小区改造技术规范，明确智能安防建设要求，鼓励综合运用物防、技防、人防等措施满足安全需要。及时推广应用新技术、新产品、新方法。因改造利用公共空间新建、改建各类设施涉及影响日照间距、占用绿化空间的，可在广泛征求居民意见基础上一事一议予以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（三）建立存量资源整合利用机制。</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各地要合理拓展改造实施单元，推进相邻小区及周边地区联动改造，加强服务设施、公共空间共建共享。加强既有用地集约混合利用，在不违反规划且征得居民等同意的前提下，允许利用小区及周边存量土地建设各类环境及配套设施和公共服务设施。其中，对利用小区内空地、荒地、绿地及拆除违法建设腾空土地等加装电梯和建设各类设施的，可不增收土地价款。整合社区服务投入和资源，通过统筹利用公有住房、社区居民委员会办公用房和社区综合服务设施、闲置锅炉房等存量房屋资源，增设各类服务设施，有条件的地方可通过租赁住宅楼底层商业用房等其他符合条件的房屋发展社区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（四）明确土地支持政策。</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城镇老旧小区改造涉及利用闲置用房等存量房屋建设各类公共服务设施的，可在一定年期内暂不办理变更用地主体和土地使用性质的手续。增设服务设施需要办理不动产登记的，不动产登记机构应依法积极予以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宋体" w:hAnsi="宋体" w:eastAsia="宋体" w:cs="宋体"/>
          <w:b/>
          <w:i w:val="0"/>
          <w:caps w:val="0"/>
          <w:color w:val="000000" w:themeColor="text1"/>
          <w:spacing w:val="0"/>
          <w:sz w:val="28"/>
          <w:szCs w:val="28"/>
          <w:bdr w:val="none" w:color="auto" w:sz="0" w:space="0"/>
          <w:shd w:val="clear" w:fill="FFFFFF"/>
          <w14:textFill>
            <w14:solidFill>
              <w14:schemeClr w14:val="tx1"/>
            </w14:solidFill>
          </w14:textFill>
        </w:rPr>
        <w:t>六、强化组织保障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（一）明确部门职责。</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住房城乡建设部要切实担负城镇老旧小区改造工作的组织协调和督促指导责任。各有关部门要加强政策协调、工作衔接、调研督导，及时发现新情况新问题，完善相关政策措施。研究对城镇老旧小区改造工作成效显著的地区给予有关激励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（二）落实地方责任。</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省级人民政府对本地区城镇老旧小区改造工作负总责，要加强统筹指导，明确市县人民政府责任，确保工作有序推进。市县人民政府要落实主体责任，主要负责同志亲自抓，把推进城镇老旧小区改造摆上重要议事日程，以人民群众满意度和受益程度、改造质量和财政资金使用效率为衡量标准，调动各方面资源抓好组织实施，健全工作机制，落实好各项配套支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楷体" w:hAnsi="楷体" w:eastAsia="楷体" w:cs="楷体"/>
          <w:i w:val="0"/>
          <w:caps w:val="0"/>
          <w:color w:val="000000" w:themeColor="text1"/>
          <w:spacing w:val="0"/>
          <w:sz w:val="28"/>
          <w:szCs w:val="28"/>
          <w:bdr w:val="none" w:color="auto" w:sz="0" w:space="0"/>
          <w:shd w:val="clear" w:fill="FFFFFF"/>
          <w14:textFill>
            <w14:solidFill>
              <w14:schemeClr w14:val="tx1"/>
            </w14:solidFill>
          </w14:textFill>
        </w:rPr>
        <w:t>（三）做好宣传引导。</w:t>
      </w: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加大对优秀项目、典型案例的宣传力度，提高社会各界对城镇老旧小区改造的认识，着力引导群众转变观念，变“要我改”为“我要改”，形成社会各界支持、群众积极参与的浓厚氛围。要准确解读城镇老旧小区改造政策措施，及时回应社会关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国务院办公厅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2020年7月10日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000000" w:themeColor="text1"/>
          <w:spacing w:val="0"/>
          <w:sz w:val="28"/>
          <w:szCs w:val="28"/>
          <w14:textFill>
            <w14:solidFill>
              <w14:schemeClr w14:val="tx1"/>
            </w14:solidFill>
          </w14:textFill>
        </w:rPr>
      </w:pPr>
      <w:r>
        <w:rPr>
          <w:rFonts w:hint="eastAsia" w:ascii="宋体" w:hAnsi="宋体" w:eastAsia="宋体" w:cs="宋体"/>
          <w:i w:val="0"/>
          <w:caps w:val="0"/>
          <w:color w:val="000000" w:themeColor="text1"/>
          <w:spacing w:val="0"/>
          <w:sz w:val="28"/>
          <w:szCs w:val="28"/>
          <w:bdr w:val="none" w:color="auto" w:sz="0" w:space="0"/>
          <w:shd w:val="clear" w:fill="FFFFFF"/>
          <w14:textFill>
            <w14:solidFill>
              <w14:schemeClr w14:val="tx1"/>
            </w14:solidFill>
          </w14:textFill>
        </w:rPr>
        <w:t>（此件公开发布）</w:t>
      </w:r>
    </w:p>
    <w:p>
      <w:pPr>
        <w:rPr>
          <w:color w:val="000000" w:themeColor="text1"/>
          <w:sz w:val="28"/>
          <w:szCs w:val="28"/>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944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2020-07-21T06:44:30Z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