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8943" w:type="dxa"/>
        <w:tblLook w:val="04A0"/>
      </w:tblPr>
      <w:tblGrid>
        <w:gridCol w:w="1003"/>
        <w:gridCol w:w="1002"/>
        <w:gridCol w:w="1003"/>
        <w:gridCol w:w="1003"/>
        <w:gridCol w:w="1001"/>
        <w:gridCol w:w="1336"/>
        <w:gridCol w:w="1440"/>
        <w:gridCol w:w="900"/>
        <w:gridCol w:w="255"/>
      </w:tblGrid>
      <w:tr w:rsidR="003A7452">
        <w:tc>
          <w:tcPr>
            <w:tcW w:w="1003" w:type="dxa"/>
            <w:vMerge w:val="restart"/>
            <w:vAlign w:val="center"/>
          </w:tcPr>
          <w:p w:rsidR="003A7452" w:rsidRDefault="00A07E51">
            <w:pPr>
              <w:wordWrap w:val="0"/>
              <w:spacing w:line="311" w:lineRule="auto"/>
              <w:jc w:val="center"/>
              <w:rPr>
                <w:rFonts w:ascii="Calibri" w:hAnsi="宋体"/>
              </w:rPr>
            </w:pPr>
            <w:r>
              <w:rPr>
                <w:rFonts w:ascii="Calibri" w:hAnsi="宋体"/>
              </w:rPr>
              <w:t>开发企业名称</w:t>
            </w:r>
          </w:p>
        </w:tc>
        <w:tc>
          <w:tcPr>
            <w:tcW w:w="1002" w:type="dxa"/>
            <w:vMerge w:val="restart"/>
            <w:vAlign w:val="center"/>
          </w:tcPr>
          <w:p w:rsidR="003A7452" w:rsidRDefault="00A07E51">
            <w:pPr>
              <w:wordWrap w:val="0"/>
              <w:spacing w:line="311" w:lineRule="auto"/>
              <w:jc w:val="center"/>
              <w:rPr>
                <w:rFonts w:ascii="Calibri" w:hAnsi="宋体"/>
              </w:rPr>
            </w:pPr>
            <w:r>
              <w:rPr>
                <w:rFonts w:ascii="Calibri" w:hAnsi="宋体"/>
              </w:rPr>
              <w:t>项目名称</w:t>
            </w:r>
          </w:p>
        </w:tc>
        <w:tc>
          <w:tcPr>
            <w:tcW w:w="1003" w:type="dxa"/>
            <w:vMerge w:val="restart"/>
            <w:vAlign w:val="center"/>
          </w:tcPr>
          <w:p w:rsidR="003A7452" w:rsidRDefault="00A07E51">
            <w:pPr>
              <w:wordWrap w:val="0"/>
              <w:spacing w:line="311" w:lineRule="auto"/>
              <w:jc w:val="center"/>
              <w:rPr>
                <w:rFonts w:ascii="Calibri" w:hAnsi="宋体"/>
              </w:rPr>
            </w:pPr>
            <w:r>
              <w:rPr>
                <w:rFonts w:ascii="Calibri" w:hAnsi="宋体"/>
              </w:rPr>
              <w:t>成品住宅楼栋</w:t>
            </w:r>
          </w:p>
        </w:tc>
        <w:tc>
          <w:tcPr>
            <w:tcW w:w="1003" w:type="dxa"/>
            <w:vMerge w:val="restart"/>
            <w:vAlign w:val="center"/>
          </w:tcPr>
          <w:p w:rsidR="003A7452" w:rsidRDefault="00A07E51">
            <w:pPr>
              <w:wordWrap w:val="0"/>
              <w:spacing w:line="311" w:lineRule="auto"/>
              <w:jc w:val="center"/>
              <w:rPr>
                <w:rFonts w:ascii="Calibri" w:hAnsi="宋体"/>
              </w:rPr>
            </w:pPr>
            <w:r>
              <w:rPr>
                <w:rFonts w:ascii="Calibri" w:hAnsi="宋体"/>
              </w:rPr>
              <w:t>工程造价咨询服务机构名称</w:t>
            </w:r>
          </w:p>
        </w:tc>
        <w:tc>
          <w:tcPr>
            <w:tcW w:w="1001" w:type="dxa"/>
            <w:vMerge w:val="restart"/>
            <w:vAlign w:val="center"/>
          </w:tcPr>
          <w:p w:rsidR="003A7452" w:rsidRDefault="00A07E51">
            <w:pPr>
              <w:wordWrap w:val="0"/>
              <w:spacing w:line="311" w:lineRule="auto"/>
              <w:jc w:val="center"/>
              <w:rPr>
                <w:rFonts w:ascii="Calibri" w:hAnsi="宋体"/>
              </w:rPr>
            </w:pPr>
            <w:r>
              <w:rPr>
                <w:rFonts w:ascii="Calibri" w:hAnsi="宋体"/>
              </w:rPr>
              <w:t>造价咨询报告编号</w:t>
            </w:r>
          </w:p>
        </w:tc>
        <w:tc>
          <w:tcPr>
            <w:tcW w:w="3931" w:type="dxa"/>
            <w:gridSpan w:val="4"/>
            <w:vAlign w:val="center"/>
          </w:tcPr>
          <w:p w:rsidR="003A7452" w:rsidRDefault="00A07E51">
            <w:pPr>
              <w:wordWrap w:val="0"/>
              <w:spacing w:line="311" w:lineRule="auto"/>
              <w:jc w:val="center"/>
              <w:rPr>
                <w:rFonts w:ascii="Calibri" w:hAnsi="宋体"/>
              </w:rPr>
            </w:pPr>
            <w:r>
              <w:rPr>
                <w:rFonts w:ascii="Calibri" w:hAnsi="宋体"/>
              </w:rPr>
              <w:t>造价咨询报告核定的成品住宅装修价格（元</w:t>
            </w:r>
            <w:r>
              <w:rPr>
                <w:rFonts w:ascii="Calibri" w:hAnsi="宋体"/>
              </w:rPr>
              <w:t>/</w:t>
            </w:r>
            <w:r>
              <w:rPr>
                <w:rFonts w:ascii="Calibri" w:hAnsi="宋体"/>
              </w:rPr>
              <w:t>㎡）</w:t>
            </w:r>
          </w:p>
        </w:tc>
      </w:tr>
      <w:tr w:rsidR="003A7452">
        <w:tc>
          <w:tcPr>
            <w:tcW w:w="1003" w:type="dxa"/>
            <w:vMerge/>
            <w:vAlign w:val="center"/>
          </w:tcPr>
          <w:p w:rsidR="003A7452" w:rsidRDefault="003A7452"/>
        </w:tc>
        <w:tc>
          <w:tcPr>
            <w:tcW w:w="1002" w:type="dxa"/>
            <w:vMerge/>
            <w:vAlign w:val="center"/>
          </w:tcPr>
          <w:p w:rsidR="003A7452" w:rsidRDefault="003A7452"/>
        </w:tc>
        <w:tc>
          <w:tcPr>
            <w:tcW w:w="1003" w:type="dxa"/>
            <w:vMerge/>
            <w:vAlign w:val="center"/>
          </w:tcPr>
          <w:p w:rsidR="003A7452" w:rsidRDefault="003A7452"/>
        </w:tc>
        <w:tc>
          <w:tcPr>
            <w:tcW w:w="1003" w:type="dxa"/>
            <w:vMerge/>
            <w:vAlign w:val="center"/>
          </w:tcPr>
          <w:p w:rsidR="003A7452" w:rsidRDefault="003A7452"/>
        </w:tc>
        <w:tc>
          <w:tcPr>
            <w:tcW w:w="1001" w:type="dxa"/>
            <w:vMerge/>
            <w:vAlign w:val="center"/>
          </w:tcPr>
          <w:p w:rsidR="003A7452" w:rsidRDefault="003A7452"/>
        </w:tc>
        <w:tc>
          <w:tcPr>
            <w:tcW w:w="1336" w:type="dxa"/>
            <w:vAlign w:val="center"/>
          </w:tcPr>
          <w:p w:rsidR="003A7452" w:rsidRDefault="00A07E51">
            <w:pPr>
              <w:wordWrap w:val="0"/>
              <w:spacing w:line="311" w:lineRule="auto"/>
              <w:jc w:val="center"/>
              <w:rPr>
                <w:rFonts w:ascii="Calibri" w:hAnsi="宋体"/>
              </w:rPr>
            </w:pPr>
            <w:r>
              <w:rPr>
                <w:rFonts w:ascii="Calibri" w:hAnsi="宋体"/>
              </w:rPr>
              <w:t>方案一</w:t>
            </w:r>
          </w:p>
          <w:p w:rsidR="003A7452" w:rsidRDefault="00A07E51" w:rsidP="00A07E51">
            <w:pPr>
              <w:wordWrap w:val="0"/>
              <w:spacing w:line="311" w:lineRule="auto"/>
              <w:jc w:val="center"/>
              <w:rPr>
                <w:rFonts w:ascii="Calibri" w:hAnsi="宋体"/>
              </w:rPr>
            </w:pPr>
            <w:r>
              <w:rPr>
                <w:rFonts w:ascii="Calibri" w:hAnsi="宋体"/>
              </w:rPr>
              <w:t>（</w:t>
            </w:r>
            <w:r>
              <w:rPr>
                <w:rFonts w:ascii="Calibri" w:hAnsi="宋体" w:hint="eastAsia"/>
              </w:rPr>
              <w:t>欧式古典</w:t>
            </w:r>
            <w:r>
              <w:rPr>
                <w:rFonts w:ascii="Calibri" w:hAnsi="宋体"/>
              </w:rPr>
              <w:t>风格，适用</w:t>
            </w:r>
            <w:r>
              <w:rPr>
                <w:rFonts w:ascii="Calibri" w:hAnsi="宋体" w:hint="eastAsia"/>
              </w:rPr>
              <w:t>15</w:t>
            </w:r>
            <w:r>
              <w:rPr>
                <w:rFonts w:ascii="Calibri" w:hAnsi="宋体"/>
              </w:rPr>
              <w:t>号楼所有户型）</w:t>
            </w:r>
          </w:p>
        </w:tc>
        <w:tc>
          <w:tcPr>
            <w:tcW w:w="1440" w:type="dxa"/>
            <w:vAlign w:val="center"/>
          </w:tcPr>
          <w:p w:rsidR="003A7452" w:rsidRDefault="00A07E51">
            <w:pPr>
              <w:wordWrap w:val="0"/>
              <w:spacing w:line="311" w:lineRule="auto"/>
              <w:jc w:val="center"/>
              <w:rPr>
                <w:rFonts w:ascii="Calibri" w:hAnsi="宋体"/>
              </w:rPr>
            </w:pPr>
            <w:r>
              <w:rPr>
                <w:rFonts w:ascii="Calibri" w:hAnsi="宋体"/>
              </w:rPr>
              <w:t>方案二</w:t>
            </w:r>
          </w:p>
          <w:p w:rsidR="003A7452" w:rsidRDefault="00A07E51" w:rsidP="00A07E51">
            <w:pPr>
              <w:wordWrap w:val="0"/>
              <w:spacing w:line="311" w:lineRule="auto"/>
              <w:jc w:val="center"/>
              <w:rPr>
                <w:rFonts w:ascii="Calibri" w:hAnsi="宋体"/>
              </w:rPr>
            </w:pPr>
            <w:r>
              <w:rPr>
                <w:rFonts w:ascii="Calibri" w:hAnsi="宋体"/>
              </w:rPr>
              <w:t>（</w:t>
            </w:r>
            <w:r>
              <w:rPr>
                <w:rFonts w:ascii="Calibri" w:hAnsi="宋体" w:hint="eastAsia"/>
              </w:rPr>
              <w:t>欧式现代</w:t>
            </w:r>
            <w:r>
              <w:rPr>
                <w:rFonts w:ascii="Calibri" w:hAnsi="宋体"/>
              </w:rPr>
              <w:t>风格，适用于</w:t>
            </w:r>
            <w:r>
              <w:rPr>
                <w:rFonts w:ascii="Calibri" w:hAnsi="宋体" w:hint="eastAsia"/>
              </w:rPr>
              <w:t>1</w:t>
            </w:r>
            <w:r>
              <w:rPr>
                <w:rFonts w:ascii="Calibri" w:hAnsi="宋体"/>
              </w:rPr>
              <w:t>6</w:t>
            </w:r>
            <w:r>
              <w:rPr>
                <w:rFonts w:ascii="Calibri" w:hAnsi="宋体"/>
              </w:rPr>
              <w:t>号楼所有户型）</w:t>
            </w:r>
          </w:p>
        </w:tc>
        <w:tc>
          <w:tcPr>
            <w:tcW w:w="900" w:type="dxa"/>
          </w:tcPr>
          <w:p w:rsidR="003A7452" w:rsidRDefault="003A7452">
            <w:pPr>
              <w:wordWrap w:val="0"/>
              <w:spacing w:line="311" w:lineRule="auto"/>
              <w:rPr>
                <w:rFonts w:ascii="Calibri" w:hAnsi="宋体"/>
              </w:rPr>
            </w:pPr>
          </w:p>
        </w:tc>
        <w:tc>
          <w:tcPr>
            <w:tcW w:w="255" w:type="dxa"/>
          </w:tcPr>
          <w:p w:rsidR="003A7452" w:rsidRDefault="003A7452">
            <w:pPr>
              <w:wordWrap w:val="0"/>
              <w:spacing w:line="311" w:lineRule="auto"/>
              <w:rPr>
                <w:rFonts w:ascii="Calibri" w:hAnsi="宋体"/>
              </w:rPr>
            </w:pPr>
          </w:p>
        </w:tc>
      </w:tr>
      <w:tr w:rsidR="003A7452">
        <w:tc>
          <w:tcPr>
            <w:tcW w:w="1003" w:type="dxa"/>
            <w:vAlign w:val="center"/>
          </w:tcPr>
          <w:p w:rsidR="003A7452" w:rsidRDefault="00A07E51">
            <w:pPr>
              <w:wordWrap w:val="0"/>
              <w:spacing w:line="311" w:lineRule="auto"/>
              <w:jc w:val="center"/>
              <w:rPr>
                <w:rFonts w:ascii="Calibri" w:hAnsi="宋体"/>
              </w:rPr>
            </w:pPr>
            <w:r>
              <w:rPr>
                <w:rFonts w:ascii="Calibri" w:hAnsi="宋体"/>
              </w:rPr>
              <w:t>四川云鼎莱房地产开发有限公司</w:t>
            </w:r>
          </w:p>
        </w:tc>
        <w:tc>
          <w:tcPr>
            <w:tcW w:w="1002" w:type="dxa"/>
            <w:vAlign w:val="center"/>
          </w:tcPr>
          <w:p w:rsidR="003A7452" w:rsidRDefault="00A07E51">
            <w:pPr>
              <w:wordWrap w:val="0"/>
              <w:spacing w:line="311" w:lineRule="auto"/>
              <w:jc w:val="center"/>
              <w:rPr>
                <w:rFonts w:ascii="Calibri" w:hAnsi="宋体"/>
              </w:rPr>
            </w:pPr>
            <w:r>
              <w:rPr>
                <w:rFonts w:ascii="Calibri" w:hAnsi="宋体"/>
              </w:rPr>
              <w:t>北星城</w:t>
            </w:r>
          </w:p>
        </w:tc>
        <w:tc>
          <w:tcPr>
            <w:tcW w:w="1003" w:type="dxa"/>
            <w:vAlign w:val="center"/>
          </w:tcPr>
          <w:p w:rsidR="003A7452" w:rsidRDefault="00A07E51">
            <w:pPr>
              <w:wordWrap w:val="0"/>
              <w:spacing w:line="311" w:lineRule="auto"/>
              <w:jc w:val="center"/>
              <w:rPr>
                <w:rFonts w:ascii="Calibri" w:hAnsi="宋体"/>
              </w:rPr>
            </w:pPr>
            <w:r>
              <w:rPr>
                <w:rFonts w:ascii="Calibri" w:hAnsi="宋体" w:hint="eastAsia"/>
              </w:rPr>
              <w:t>1</w:t>
            </w:r>
            <w:r>
              <w:rPr>
                <w:rFonts w:ascii="Calibri" w:hAnsi="宋体"/>
              </w:rPr>
              <w:t>5#</w:t>
            </w:r>
            <w:r>
              <w:rPr>
                <w:rFonts w:ascii="Calibri" w:hAnsi="宋体"/>
              </w:rPr>
              <w:t>、</w:t>
            </w:r>
            <w:r>
              <w:rPr>
                <w:rFonts w:ascii="Calibri" w:hAnsi="宋体" w:hint="eastAsia"/>
              </w:rPr>
              <w:t>1</w:t>
            </w:r>
            <w:r>
              <w:rPr>
                <w:rFonts w:ascii="Calibri" w:hAnsi="宋体"/>
              </w:rPr>
              <w:t>6#</w:t>
            </w:r>
            <w:r>
              <w:rPr>
                <w:rFonts w:ascii="Calibri" w:hAnsi="宋体"/>
              </w:rPr>
              <w:t>楼</w:t>
            </w:r>
          </w:p>
        </w:tc>
        <w:tc>
          <w:tcPr>
            <w:tcW w:w="1003" w:type="dxa"/>
            <w:vAlign w:val="center"/>
          </w:tcPr>
          <w:p w:rsidR="003A7452" w:rsidRDefault="00A07E51" w:rsidP="00A07E51">
            <w:pPr>
              <w:wordWrap w:val="0"/>
              <w:spacing w:line="311" w:lineRule="auto"/>
              <w:jc w:val="center"/>
              <w:rPr>
                <w:rFonts w:ascii="Calibri" w:hAnsi="宋体" w:hint="eastAsia"/>
              </w:rPr>
            </w:pPr>
            <w:r>
              <w:rPr>
                <w:rFonts w:ascii="Calibri" w:hAnsi="宋体"/>
              </w:rPr>
              <w:t>四川</w:t>
            </w:r>
            <w:r>
              <w:rPr>
                <w:rFonts w:ascii="Calibri" w:hAnsi="宋体" w:hint="eastAsia"/>
              </w:rPr>
              <w:t>中砝建设咨询有限公司</w:t>
            </w:r>
          </w:p>
        </w:tc>
        <w:tc>
          <w:tcPr>
            <w:tcW w:w="1001" w:type="dxa"/>
            <w:vAlign w:val="center"/>
          </w:tcPr>
          <w:p w:rsidR="003A7452" w:rsidRDefault="00A07E51" w:rsidP="00A07E51">
            <w:pPr>
              <w:wordWrap w:val="0"/>
              <w:spacing w:line="311" w:lineRule="auto"/>
              <w:jc w:val="center"/>
              <w:rPr>
                <w:rFonts w:ascii="Calibri" w:hAnsi="宋体"/>
              </w:rPr>
            </w:pPr>
            <w:r>
              <w:rPr>
                <w:rFonts w:ascii="Calibri" w:hAnsi="宋体" w:hint="eastAsia"/>
              </w:rPr>
              <w:t>中砝</w:t>
            </w:r>
            <w:r>
              <w:rPr>
                <w:rFonts w:ascii="Calibri" w:hAnsi="宋体" w:hint="eastAsia"/>
              </w:rPr>
              <w:t>kctwt1911001-k6jz001</w:t>
            </w:r>
          </w:p>
        </w:tc>
        <w:tc>
          <w:tcPr>
            <w:tcW w:w="1336" w:type="dxa"/>
            <w:vAlign w:val="center"/>
          </w:tcPr>
          <w:p w:rsidR="003A7452" w:rsidRDefault="00A07E51">
            <w:pPr>
              <w:wordWrap w:val="0"/>
              <w:spacing w:line="311" w:lineRule="auto"/>
              <w:jc w:val="center"/>
              <w:rPr>
                <w:rFonts w:ascii="Calibri" w:hAnsi="宋体"/>
              </w:rPr>
            </w:pPr>
            <w:r>
              <w:rPr>
                <w:rFonts w:ascii="Calibri" w:hAnsi="宋体" w:hint="eastAsia"/>
              </w:rPr>
              <w:t>5700</w:t>
            </w:r>
            <w:r>
              <w:rPr>
                <w:rFonts w:ascii="Calibri" w:hAnsi="宋体"/>
              </w:rPr>
              <w:t>.00</w:t>
            </w:r>
          </w:p>
        </w:tc>
        <w:tc>
          <w:tcPr>
            <w:tcW w:w="1440" w:type="dxa"/>
            <w:vAlign w:val="center"/>
          </w:tcPr>
          <w:p w:rsidR="003A7452" w:rsidRDefault="00A07E51">
            <w:pPr>
              <w:wordWrap w:val="0"/>
              <w:spacing w:line="311" w:lineRule="auto"/>
              <w:jc w:val="center"/>
              <w:rPr>
                <w:rFonts w:ascii="Calibri" w:hAnsi="宋体"/>
              </w:rPr>
            </w:pPr>
            <w:r>
              <w:rPr>
                <w:rFonts w:ascii="Calibri" w:hAnsi="宋体" w:hint="eastAsia"/>
              </w:rPr>
              <w:t>570</w:t>
            </w:r>
            <w:r>
              <w:rPr>
                <w:rFonts w:ascii="Calibri" w:hAnsi="宋体"/>
              </w:rPr>
              <w:t>0.00</w:t>
            </w:r>
          </w:p>
        </w:tc>
        <w:tc>
          <w:tcPr>
            <w:tcW w:w="900" w:type="dxa"/>
          </w:tcPr>
          <w:p w:rsidR="003A7452" w:rsidRDefault="003A7452">
            <w:pPr>
              <w:wordWrap w:val="0"/>
              <w:spacing w:line="311" w:lineRule="auto"/>
              <w:rPr>
                <w:rFonts w:ascii="Calibri" w:hAnsi="宋体"/>
              </w:rPr>
            </w:pPr>
          </w:p>
        </w:tc>
        <w:tc>
          <w:tcPr>
            <w:tcW w:w="255" w:type="dxa"/>
          </w:tcPr>
          <w:p w:rsidR="003A7452" w:rsidRDefault="003A7452">
            <w:pPr>
              <w:wordWrap w:val="0"/>
              <w:spacing w:line="311" w:lineRule="auto"/>
              <w:rPr>
                <w:rFonts w:ascii="Calibri" w:hAnsi="宋体"/>
              </w:rPr>
            </w:pPr>
          </w:p>
        </w:tc>
      </w:tr>
    </w:tbl>
    <w:p w:rsidR="003A7452" w:rsidRDefault="003A7452">
      <w:pPr>
        <w:wordWrap w:val="0"/>
        <w:spacing w:line="311" w:lineRule="auto"/>
        <w:rPr>
          <w:rFonts w:ascii="Calibri" w:hAnsi="宋体"/>
        </w:rPr>
      </w:pPr>
    </w:p>
    <w:sectPr w:rsidR="003A7452" w:rsidSect="003A7452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charset w:val="00"/>
    <w:family w:val="auto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balanceSingleByteDoubleByteWidth/>
    <w:useFELayout/>
  </w:compat>
  <w:rsids>
    <w:rsidRoot w:val="003A7452"/>
    <w:rsid w:val="003A7452"/>
    <w:rsid w:val="00A07E5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7452"/>
  </w:style>
  <w:style w:type="paragraph" w:styleId="1">
    <w:name w:val="heading 1"/>
    <w:uiPriority w:val="7"/>
    <w:qFormat/>
    <w:rsid w:val="003A7452"/>
    <w:pPr>
      <w:outlineLvl w:val="0"/>
    </w:pPr>
    <w:rPr>
      <w:sz w:val="28"/>
      <w:szCs w:val="28"/>
    </w:rPr>
  </w:style>
  <w:style w:type="paragraph" w:styleId="2">
    <w:name w:val="heading 2"/>
    <w:uiPriority w:val="8"/>
    <w:qFormat/>
    <w:rsid w:val="003A7452"/>
    <w:pPr>
      <w:outlineLvl w:val="1"/>
    </w:pPr>
  </w:style>
  <w:style w:type="paragraph" w:styleId="3">
    <w:name w:val="heading 3"/>
    <w:uiPriority w:val="9"/>
    <w:qFormat/>
    <w:rsid w:val="003A7452"/>
    <w:pPr>
      <w:ind w:left="1000" w:hanging="400"/>
      <w:outlineLvl w:val="2"/>
    </w:pPr>
  </w:style>
  <w:style w:type="paragraph" w:styleId="4">
    <w:name w:val="heading 4"/>
    <w:uiPriority w:val="10"/>
    <w:qFormat/>
    <w:rsid w:val="003A7452"/>
    <w:pPr>
      <w:ind w:left="1200" w:hanging="400"/>
      <w:outlineLvl w:val="3"/>
    </w:pPr>
    <w:rPr>
      <w:b/>
    </w:rPr>
  </w:style>
  <w:style w:type="paragraph" w:styleId="5">
    <w:name w:val="heading 5"/>
    <w:uiPriority w:val="11"/>
    <w:qFormat/>
    <w:rsid w:val="003A7452"/>
    <w:pPr>
      <w:ind w:left="1400" w:hanging="400"/>
      <w:outlineLvl w:val="4"/>
    </w:pPr>
  </w:style>
  <w:style w:type="paragraph" w:styleId="6">
    <w:name w:val="heading 6"/>
    <w:uiPriority w:val="12"/>
    <w:qFormat/>
    <w:rsid w:val="003A7452"/>
    <w:pPr>
      <w:ind w:left="1600" w:hanging="400"/>
      <w:outlineLvl w:val="5"/>
    </w:pPr>
    <w:rPr>
      <w:b/>
    </w:rPr>
  </w:style>
  <w:style w:type="paragraph" w:styleId="7">
    <w:name w:val="heading 7"/>
    <w:uiPriority w:val="13"/>
    <w:qFormat/>
    <w:rsid w:val="003A7452"/>
    <w:pPr>
      <w:ind w:left="1800" w:hanging="400"/>
      <w:outlineLvl w:val="6"/>
    </w:pPr>
  </w:style>
  <w:style w:type="paragraph" w:styleId="8">
    <w:name w:val="heading 8"/>
    <w:uiPriority w:val="14"/>
    <w:qFormat/>
    <w:rsid w:val="003A7452"/>
    <w:pPr>
      <w:ind w:left="2000" w:hanging="400"/>
      <w:outlineLvl w:val="7"/>
    </w:pPr>
  </w:style>
  <w:style w:type="paragraph" w:styleId="9">
    <w:name w:val="heading 9"/>
    <w:uiPriority w:val="15"/>
    <w:qFormat/>
    <w:rsid w:val="003A7452"/>
    <w:pPr>
      <w:ind w:left="2200" w:hanging="4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3A7452"/>
  </w:style>
  <w:style w:type="paragraph" w:styleId="a4">
    <w:name w:val="Title"/>
    <w:uiPriority w:val="6"/>
    <w:qFormat/>
    <w:rsid w:val="003A7452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3A7452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3A7452"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sid w:val="003A7452"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sid w:val="003A7452"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sid w:val="003A7452"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rsid w:val="003A7452"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rsid w:val="003A7452"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sid w:val="003A7452"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sid w:val="003A7452"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sid w:val="003A7452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rsid w:val="003A7452"/>
    <w:pPr>
      <w:ind w:left="850"/>
    </w:pPr>
  </w:style>
  <w:style w:type="paragraph" w:styleId="TOC">
    <w:name w:val="TOC Heading"/>
    <w:uiPriority w:val="27"/>
    <w:unhideWhenUsed/>
    <w:qFormat/>
    <w:rsid w:val="003A7452"/>
    <w:rPr>
      <w:color w:val="2E74B5"/>
      <w:sz w:val="32"/>
      <w:szCs w:val="32"/>
    </w:rPr>
  </w:style>
  <w:style w:type="paragraph" w:styleId="10">
    <w:name w:val="toc 1"/>
    <w:uiPriority w:val="28"/>
    <w:unhideWhenUsed/>
    <w:qFormat/>
    <w:rsid w:val="003A7452"/>
  </w:style>
  <w:style w:type="paragraph" w:styleId="20">
    <w:name w:val="toc 2"/>
    <w:uiPriority w:val="29"/>
    <w:unhideWhenUsed/>
    <w:qFormat/>
    <w:rsid w:val="003A7452"/>
    <w:pPr>
      <w:ind w:left="425"/>
    </w:pPr>
  </w:style>
  <w:style w:type="paragraph" w:styleId="30">
    <w:name w:val="toc 3"/>
    <w:uiPriority w:val="30"/>
    <w:unhideWhenUsed/>
    <w:qFormat/>
    <w:rsid w:val="003A7452"/>
    <w:pPr>
      <w:ind w:left="850"/>
    </w:pPr>
  </w:style>
  <w:style w:type="paragraph" w:styleId="40">
    <w:name w:val="toc 4"/>
    <w:uiPriority w:val="31"/>
    <w:unhideWhenUsed/>
    <w:qFormat/>
    <w:rsid w:val="003A7452"/>
    <w:pPr>
      <w:ind w:left="1275"/>
    </w:pPr>
  </w:style>
  <w:style w:type="paragraph" w:styleId="50">
    <w:name w:val="toc 5"/>
    <w:uiPriority w:val="32"/>
    <w:unhideWhenUsed/>
    <w:qFormat/>
    <w:rsid w:val="003A7452"/>
    <w:pPr>
      <w:ind w:left="1700"/>
    </w:pPr>
  </w:style>
  <w:style w:type="paragraph" w:styleId="60">
    <w:name w:val="toc 6"/>
    <w:uiPriority w:val="33"/>
    <w:unhideWhenUsed/>
    <w:qFormat/>
    <w:rsid w:val="003A7452"/>
    <w:pPr>
      <w:ind w:left="2125"/>
    </w:pPr>
  </w:style>
  <w:style w:type="paragraph" w:styleId="70">
    <w:name w:val="toc 7"/>
    <w:uiPriority w:val="34"/>
    <w:unhideWhenUsed/>
    <w:qFormat/>
    <w:rsid w:val="003A7452"/>
    <w:pPr>
      <w:ind w:left="2550"/>
    </w:pPr>
  </w:style>
  <w:style w:type="paragraph" w:styleId="80">
    <w:name w:val="toc 8"/>
    <w:uiPriority w:val="35"/>
    <w:unhideWhenUsed/>
    <w:qFormat/>
    <w:rsid w:val="003A7452"/>
    <w:pPr>
      <w:ind w:left="2975"/>
    </w:pPr>
  </w:style>
  <w:style w:type="paragraph" w:styleId="90">
    <w:name w:val="toc 9"/>
    <w:uiPriority w:val="36"/>
    <w:unhideWhenUsed/>
    <w:qFormat/>
    <w:rsid w:val="003A7452"/>
    <w:pPr>
      <w:ind w:left="3400"/>
    </w:pPr>
  </w:style>
  <w:style w:type="table" w:styleId="af0">
    <w:name w:val="Table Grid"/>
    <w:basedOn w:val="a1"/>
    <w:uiPriority w:val="38"/>
    <w:rsid w:val="003A7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黑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宋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2019-11-22T06:49:00Z</dcterms:created>
  <dcterms:modified xsi:type="dcterms:W3CDTF">2019-11-22T06:52:00Z</dcterms:modified>
</cp:coreProperties>
</file>