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456"/>
        <w:gridCol w:w="1083"/>
        <w:gridCol w:w="760"/>
        <w:gridCol w:w="2409"/>
        <w:gridCol w:w="6"/>
        <w:gridCol w:w="1695"/>
        <w:gridCol w:w="3355"/>
        <w:gridCol w:w="4020"/>
        <w:gridCol w:w="6"/>
        <w:gridCol w:w="228"/>
      </w:tblGrid>
      <w:tr w:rsidR="00BA55C6" w:rsidTr="00BA55C6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7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BA55C6" w:rsidTr="00BA55C6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成都万</w:t>
            </w:r>
            <w:proofErr w:type="gramStart"/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成天新</w:t>
            </w:r>
            <w:proofErr w:type="gramEnd"/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置业有限公司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璟</w:t>
            </w:r>
            <w:proofErr w:type="gramStart"/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南堂小区</w:t>
            </w:r>
            <w:proofErr w:type="gramEnd"/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一期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四川开元工程项目管理咨询有限公司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号楼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 w:rsidP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26"/>
                <w:szCs w:val="26"/>
              </w:rPr>
              <w:t>（现代典雅风格）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5C6" w:rsidRDefault="00BA55C6" w:rsidP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color w:val="000000"/>
                <w:kern w:val="0"/>
                <w:sz w:val="26"/>
                <w:szCs w:val="26"/>
              </w:rPr>
              <w:t>方案二（现代东方风格）</w:t>
            </w:r>
          </w:p>
        </w:tc>
        <w:tc>
          <w:tcPr>
            <w:tcW w:w="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 w:rsidP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A55C6" w:rsidTr="00BA55C6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开元控字（</w:t>
            </w: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）川第</w:t>
            </w:r>
            <w:r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  <w:t>02120</w:t>
            </w:r>
            <w:r>
              <w:rPr>
                <w:rFonts w:ascii="华文楷体" w:eastAsia="华文楷体" w:hAnsi="Times New Roman" w:cs="华文楷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Times New Roman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华文楷体" w:hAnsi="Times New Roman" w:cs="Times New Roman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华文楷体" w:hAnsi="Times New Roman" w:cs="Times New Roman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C6" w:rsidRDefault="00BA55C6">
            <w:pPr>
              <w:autoSpaceDE w:val="0"/>
              <w:autoSpaceDN w:val="0"/>
              <w:adjustRightInd w:val="0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00A74" w:rsidRDefault="00300A74"/>
    <w:sectPr w:rsidR="00300A74" w:rsidSect="00BA55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5C6"/>
    <w:rsid w:val="00300A74"/>
    <w:rsid w:val="00BA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2019-06-14T09:20:00Z</dcterms:created>
  <dcterms:modified xsi:type="dcterms:W3CDTF">2019-06-14T09:23:00Z</dcterms:modified>
</cp:coreProperties>
</file>