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pPr w:leftFromText="180" w:rightFromText="180" w:vertAnchor="page" w:horzAnchor="page" w:tblpX="1333" w:tblpY="2434"/>
        <w:tblOverlap w:val="never"/>
        <w:tblW w:w="98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972"/>
        <w:gridCol w:w="1188"/>
        <w:gridCol w:w="1332"/>
        <w:gridCol w:w="1236"/>
        <w:gridCol w:w="1260"/>
        <w:gridCol w:w="9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业名称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宅楼栋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工程造价咨询服务机构名称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造价咨询报告核定的成品住宅装修价格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（法式创意轻奢风格，适用A1、A2、A3、A4、A1'、C1、C2、C3户型）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（摩登新法式风格，适用J1、J2、G5、G5’、G6、G6'、G7、G8户型）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（法式新古典风格，适用I5、I5’、I6、I6'、I7、I8户型）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然置业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西派城7号地C地块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1#、2#、3#、4#、5#、6#、7#、8#、9#楼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中道明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川明华过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【2018】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4650.00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5860.00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6970"/>
    <w:rsid w:val="169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28418</dc:creator>
  <cp:lastModifiedBy>Me gustas</cp:lastModifiedBy>
  <dcterms:modified xsi:type="dcterms:W3CDTF">2019-04-03T02:08:09Z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