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62" w:type="dxa"/>
        <w:tblLayout w:type="fixed"/>
        <w:tblLook w:val="04A0"/>
      </w:tblPr>
      <w:tblGrid>
        <w:gridCol w:w="973"/>
        <w:gridCol w:w="973"/>
        <w:gridCol w:w="973"/>
        <w:gridCol w:w="973"/>
        <w:gridCol w:w="974"/>
        <w:gridCol w:w="1235"/>
        <w:gridCol w:w="1117"/>
        <w:gridCol w:w="1133"/>
        <w:gridCol w:w="411"/>
      </w:tblGrid>
      <w:tr w:rsidR="00120254">
        <w:tc>
          <w:tcPr>
            <w:tcW w:w="973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开发企业名称</w:t>
            </w:r>
          </w:p>
        </w:tc>
        <w:tc>
          <w:tcPr>
            <w:tcW w:w="973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73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成品住宅楼栋</w:t>
            </w:r>
          </w:p>
        </w:tc>
        <w:tc>
          <w:tcPr>
            <w:tcW w:w="973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工程造价咨询服务机构名称</w:t>
            </w:r>
          </w:p>
        </w:tc>
        <w:tc>
          <w:tcPr>
            <w:tcW w:w="974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造价咨询报告编号</w:t>
            </w:r>
          </w:p>
        </w:tc>
        <w:tc>
          <w:tcPr>
            <w:tcW w:w="3896" w:type="dxa"/>
            <w:gridSpan w:val="4"/>
            <w:noWrap/>
          </w:tcPr>
          <w:p w:rsidR="00120254" w:rsidRDefault="00120254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</w:p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造价咨询报告核定的成品住宅装修价格</w:t>
            </w:r>
            <w:r w:rsidR="00F67B4D"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(元/</w:t>
            </w:r>
            <w:r w:rsidR="00F67B4D">
              <w:rPr>
                <w:rStyle w:val="2SegoeUI"/>
                <w:rFonts w:ascii="仿宋" w:eastAsia="仿宋" w:hAnsi="仿宋"/>
                <w:sz w:val="24"/>
                <w:szCs w:val="24"/>
              </w:rPr>
              <w:t xml:space="preserve"> </w:t>
            </w:r>
            <w:r w:rsidR="00F67B4D">
              <w:rPr>
                <w:rStyle w:val="2SegoeUI"/>
                <w:rFonts w:ascii="仿宋" w:eastAsia="仿宋" w:hAnsi="仿宋"/>
                <w:sz w:val="24"/>
                <w:szCs w:val="24"/>
                <w:lang w:eastAsia="zh-CN"/>
              </w:rPr>
              <w:t>m</w:t>
            </w:r>
            <w:r w:rsidR="00F67B4D">
              <w:rPr>
                <w:rFonts w:ascii="仿宋" w:eastAsia="仿宋" w:hAnsi="仿宋"/>
                <w:sz w:val="24"/>
                <w:szCs w:val="24"/>
                <w:vertAlign w:val="superscript"/>
                <w:lang w:bidi="en-US"/>
              </w:rPr>
              <w:t>2</w:t>
            </w:r>
            <w:r w:rsidR="00F67B4D"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)</w:t>
            </w:r>
          </w:p>
        </w:tc>
      </w:tr>
      <w:tr w:rsidR="00120254">
        <w:tc>
          <w:tcPr>
            <w:tcW w:w="973" w:type="dxa"/>
            <w:vMerge w:val="restart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成都英祥房地产开发有限公司</w:t>
            </w:r>
          </w:p>
        </w:tc>
        <w:tc>
          <w:tcPr>
            <w:tcW w:w="973" w:type="dxa"/>
            <w:vMerge w:val="restart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北城映像四期</w:t>
            </w:r>
          </w:p>
        </w:tc>
        <w:tc>
          <w:tcPr>
            <w:tcW w:w="973" w:type="dxa"/>
            <w:vMerge w:val="restart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11#、12#楼</w:t>
            </w:r>
          </w:p>
        </w:tc>
        <w:tc>
          <w:tcPr>
            <w:tcW w:w="973" w:type="dxa"/>
            <w:vMerge w:val="restart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四川同兴达建设咨询有限公司</w:t>
            </w:r>
          </w:p>
        </w:tc>
        <w:tc>
          <w:tcPr>
            <w:tcW w:w="974" w:type="dxa"/>
            <w:vMerge w:val="restart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川同咨询【2018】</w:t>
            </w:r>
          </w:p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清499号</w:t>
            </w:r>
          </w:p>
        </w:tc>
        <w:tc>
          <w:tcPr>
            <w:tcW w:w="1235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方案一</w:t>
            </w:r>
          </w:p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（现代都市风格、适用D1-2、A2-2、A2-3、C2-8户型）</w:t>
            </w:r>
          </w:p>
        </w:tc>
        <w:tc>
          <w:tcPr>
            <w:tcW w:w="1117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方案二</w:t>
            </w:r>
          </w:p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（现代轻奢风格、适用D1-3户型）</w:t>
            </w:r>
          </w:p>
        </w:tc>
        <w:tc>
          <w:tcPr>
            <w:tcW w:w="1133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方案三</w:t>
            </w:r>
          </w:p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（现代温馨风格、适用D1-1、C2-5、C2-6、C2-7户型）</w:t>
            </w:r>
          </w:p>
        </w:tc>
        <w:tc>
          <w:tcPr>
            <w:tcW w:w="411" w:type="dxa"/>
            <w:noWrap/>
          </w:tcPr>
          <w:p w:rsidR="00120254" w:rsidRDefault="00120254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</w:p>
        </w:tc>
      </w:tr>
      <w:tr w:rsidR="00120254">
        <w:tc>
          <w:tcPr>
            <w:tcW w:w="973" w:type="dxa"/>
            <w:vMerge/>
            <w:noWrap/>
          </w:tcPr>
          <w:p w:rsidR="00120254" w:rsidRDefault="00120254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noWrap/>
          </w:tcPr>
          <w:p w:rsidR="00120254" w:rsidRDefault="00120254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noWrap/>
          </w:tcPr>
          <w:p w:rsidR="00120254" w:rsidRDefault="00120254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/>
            <w:noWrap/>
          </w:tcPr>
          <w:p w:rsidR="00120254" w:rsidRDefault="00120254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/>
            <w:noWrap/>
          </w:tcPr>
          <w:p w:rsidR="00120254" w:rsidRDefault="00120254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1821.25</w:t>
            </w:r>
          </w:p>
        </w:tc>
        <w:tc>
          <w:tcPr>
            <w:tcW w:w="1117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1658.92</w:t>
            </w:r>
          </w:p>
        </w:tc>
        <w:tc>
          <w:tcPr>
            <w:tcW w:w="1133" w:type="dxa"/>
            <w:noWrap/>
          </w:tcPr>
          <w:p w:rsidR="00120254" w:rsidRDefault="00826DD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18"/>
                <w:szCs w:val="18"/>
              </w:rPr>
              <w:t>1705.00</w:t>
            </w:r>
          </w:p>
        </w:tc>
        <w:tc>
          <w:tcPr>
            <w:tcW w:w="411" w:type="dxa"/>
            <w:noWrap/>
          </w:tcPr>
          <w:p w:rsidR="00120254" w:rsidRDefault="00120254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spacing w:val="-5"/>
                <w:kern w:val="0"/>
                <w:sz w:val="18"/>
                <w:szCs w:val="18"/>
              </w:rPr>
            </w:pPr>
          </w:p>
        </w:tc>
      </w:tr>
    </w:tbl>
    <w:p w:rsidR="00120254" w:rsidRDefault="00120254"/>
    <w:sectPr w:rsidR="00120254" w:rsidSect="0012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48" w:rsidRDefault="00BC1148" w:rsidP="00602E4F">
      <w:r>
        <w:separator/>
      </w:r>
    </w:p>
  </w:endnote>
  <w:endnote w:type="continuationSeparator" w:id="1">
    <w:p w:rsidR="00BC1148" w:rsidRDefault="00BC1148" w:rsidP="00602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48" w:rsidRDefault="00BC1148" w:rsidP="00602E4F">
      <w:r>
        <w:separator/>
      </w:r>
    </w:p>
  </w:footnote>
  <w:footnote w:type="continuationSeparator" w:id="1">
    <w:p w:rsidR="00BC1148" w:rsidRDefault="00BC1148" w:rsidP="00602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254"/>
    <w:rsid w:val="00120254"/>
    <w:rsid w:val="00602E4F"/>
    <w:rsid w:val="00826DD2"/>
    <w:rsid w:val="00BC1148"/>
    <w:rsid w:val="00F67B4D"/>
    <w:rsid w:val="00F71C9C"/>
    <w:rsid w:val="496C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202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02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2E4F"/>
    <w:rPr>
      <w:kern w:val="2"/>
      <w:sz w:val="18"/>
      <w:szCs w:val="18"/>
    </w:rPr>
  </w:style>
  <w:style w:type="paragraph" w:styleId="a5">
    <w:name w:val="footer"/>
    <w:basedOn w:val="a"/>
    <w:link w:val="Char0"/>
    <w:rsid w:val="00602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2E4F"/>
    <w:rPr>
      <w:kern w:val="2"/>
      <w:sz w:val="18"/>
      <w:szCs w:val="18"/>
    </w:rPr>
  </w:style>
  <w:style w:type="character" w:customStyle="1" w:styleId="2SegoeUI">
    <w:name w:val="正文文本 (2) + Segoe UI"/>
    <w:basedOn w:val="a0"/>
    <w:qFormat/>
    <w:rsid w:val="00F67B4D"/>
    <w:rPr>
      <w:rFonts w:ascii="Segoe UI" w:eastAsia="Segoe UI" w:hAnsi="Segoe UI" w:cs="Segoe UI"/>
      <w:color w:val="000000"/>
      <w:w w:val="100"/>
      <w:position w:val="0"/>
      <w:sz w:val="32"/>
      <w:szCs w:val="32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2014-10-29T12:08:00Z</dcterms:created>
  <dcterms:modified xsi:type="dcterms:W3CDTF">2018-12-17T02:25:00Z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