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86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（元</w:t>
            </w:r>
            <w:r>
              <w:rPr>
                <w:rFonts w:ascii="楷体" w:hAnsi="楷体" w:eastAsia="楷体" w:cs="楷体"/>
                <w:sz w:val="24"/>
                <w:szCs w:val="24"/>
              </w:rPr>
              <w:t>/m</w:t>
            </w:r>
            <w:r>
              <w:rPr>
                <w:rFonts w:ascii="楷体" w:hAnsi="楷体" w:eastAsia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方案一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现代简约风格，适用于所有户型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方案二          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简欧风格，适用于所有户型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）                   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三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中式风格，适用于所有户型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四川雅居乐房地产开发有限公司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成都雅居乐花园六期C区一、三组团项目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7、10、11、12、13、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4"/>
                <w:szCs w:val="24"/>
                <w:lang w:val="en-US" w:eastAsia="zh-CN"/>
              </w:rPr>
              <w:t>川良建咨（造）发【2018】166号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2516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3286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3396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0BF"/>
    <w:rsid w:val="000F10BF"/>
    <w:rsid w:val="003E5691"/>
    <w:rsid w:val="5A097688"/>
    <w:rsid w:val="7CB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2018-07-18T08:09:00Z</dcterms:created>
  <dc:creator>Windows 用户</dc:creator>
  <cp:lastModifiedBy>/aiqs/aiqsubtlety</cp:lastModifiedBy>
  <dcterms:modified xsi:type="dcterms:W3CDTF">2018-08-09T08:24:34Z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