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89" w:tblpY="374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68"/>
        <w:gridCol w:w="1575"/>
        <w:gridCol w:w="1257"/>
        <w:gridCol w:w="1462"/>
        <w:gridCol w:w="2497"/>
        <w:gridCol w:w="286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开发企业名称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成品住宅楼栋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造价咨询报告编号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造价咨询报告核定的成品住宅装修价格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（元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/m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方案一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田园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风格，适用于所有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2866" w:type="dxa"/>
            <w:vAlign w:val="center"/>
          </w:tcPr>
          <w:p>
            <w:pPr>
              <w:spacing w:line="240" w:lineRule="exact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方案二</w:t>
            </w:r>
          </w:p>
          <w:p>
            <w:pPr>
              <w:spacing w:line="240" w:lineRule="exact"/>
              <w:jc w:val="center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（现代简约风格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C、D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三</w:t>
            </w:r>
          </w:p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简欧风格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33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成都立达房地产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雍锦澜湾一期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、3号楼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四川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大策建设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工程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项目管理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DCZJ-18评估【Z】66号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  <w:tc>
          <w:tcPr>
            <w:tcW w:w="286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C2C"/>
    <w:rsid w:val="00156DBE"/>
    <w:rsid w:val="00407493"/>
    <w:rsid w:val="00585AB8"/>
    <w:rsid w:val="006A5F1F"/>
    <w:rsid w:val="009A70A6"/>
    <w:rsid w:val="009C471D"/>
    <w:rsid w:val="00AB7AF1"/>
    <w:rsid w:val="00B248C5"/>
    <w:rsid w:val="00FB1C2C"/>
    <w:rsid w:val="081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2018-05-21T08:56:00Z</dcterms:created>
  <dc:creator>Windows 用户</dc:creator>
  <cp:lastModifiedBy>hope</cp:lastModifiedBy>
  <dcterms:modified xsi:type="dcterms:W3CDTF">2018-07-11T07:28:01Z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